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D45" w:rsidRDefault="009E5D45" w:rsidP="006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6D" w:rsidRPr="0063746D" w:rsidRDefault="0063746D" w:rsidP="006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6D">
        <w:rPr>
          <w:rFonts w:ascii="Times New Roman" w:hAnsi="Times New Roman" w:cs="Times New Roman"/>
          <w:b/>
          <w:sz w:val="28"/>
          <w:szCs w:val="28"/>
        </w:rPr>
        <w:t xml:space="preserve">Более 100 земельных участков зарегистрировал </w:t>
      </w:r>
      <w:proofErr w:type="gramStart"/>
      <w:r w:rsidRPr="0063746D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637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46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3746D">
        <w:rPr>
          <w:rFonts w:ascii="Times New Roman" w:hAnsi="Times New Roman" w:cs="Times New Roman"/>
          <w:b/>
          <w:sz w:val="28"/>
          <w:szCs w:val="28"/>
        </w:rPr>
        <w:t xml:space="preserve"> за время реализации «гаражной амнистии»</w:t>
      </w:r>
    </w:p>
    <w:p w:rsidR="0063746D" w:rsidRPr="0063746D" w:rsidRDefault="0063746D" w:rsidP="0063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Всего по России за время реализации «гаражной амнистии»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 зарегистрировано более 16 тысяч земельных участков. Их площадь составила 47 890 кв. м.</w:t>
      </w: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Статс-секретарь - заместитель руководителя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="00334A7E">
        <w:rPr>
          <w:rFonts w:ascii="Times New Roman" w:hAnsi="Times New Roman" w:cs="Times New Roman"/>
          <w:sz w:val="28"/>
          <w:szCs w:val="28"/>
        </w:rPr>
        <w:t xml:space="preserve"> </w:t>
      </w:r>
      <w:r w:rsidRPr="0063746D">
        <w:rPr>
          <w:rFonts w:ascii="Times New Roman" w:hAnsi="Times New Roman" w:cs="Times New Roman"/>
          <w:sz w:val="28"/>
          <w:szCs w:val="28"/>
        </w:rPr>
        <w:t xml:space="preserve">рассказал, что по состоянию на конец марта по всей стране было оформлено 12 688 гаражей. Кроме того, в ЕГРН дополнительно внесены изменения в сведения о 3615 объектах недвижимости. </w:t>
      </w:r>
    </w:p>
    <w:p w:rsid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Со слов руководителя Управления Росреестра по Алтайскому краю Юрия Калашникова на территории Алтайского края с начала действия «гаражной амнистии» зарегистрировано 175 земельных участков. Лидерами по количеству зарегистрированных гаражей стал г. Рубцовск. Также права собственности на гаражи были оформлены на территории городов края в Барнауле, Бийске, Славгороде и Белокурихе. </w:t>
      </w:r>
    </w:p>
    <w:p w:rsidR="009E5D45" w:rsidRPr="0063746D" w:rsidRDefault="009E5D45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9E5D45" w:rsidRDefault="00A73A68" w:rsidP="009E5D45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</w:pPr>
      <w:r w:rsidRPr="009E5D4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>Управлени</w:t>
      </w:r>
      <w:r w:rsidR="009E5D45" w:rsidRPr="009E5D4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>е</w:t>
      </w:r>
      <w:r w:rsidRPr="009E5D4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 xml:space="preserve"> Росреестра по Алтайскому краю</w:t>
      </w:r>
    </w:p>
    <w:sectPr w:rsidR="00A73A68" w:rsidRPr="009E5D45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FB" w:rsidRDefault="00E266FB">
      <w:pPr>
        <w:spacing w:after="0" w:line="240" w:lineRule="auto"/>
      </w:pPr>
      <w:r>
        <w:separator/>
      </w:r>
    </w:p>
  </w:endnote>
  <w:endnote w:type="continuationSeparator" w:id="0">
    <w:p w:rsidR="00E266FB" w:rsidRDefault="00E2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FB" w:rsidRDefault="00E266FB">
      <w:pPr>
        <w:spacing w:after="0" w:line="240" w:lineRule="auto"/>
      </w:pPr>
      <w:r>
        <w:separator/>
      </w:r>
    </w:p>
  </w:footnote>
  <w:footnote w:type="continuationSeparator" w:id="0">
    <w:p w:rsidR="00E266FB" w:rsidRDefault="00E2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A7C38"/>
    <w:rsid w:val="002D0027"/>
    <w:rsid w:val="00334A7E"/>
    <w:rsid w:val="003A2E25"/>
    <w:rsid w:val="005D4C1E"/>
    <w:rsid w:val="0063746D"/>
    <w:rsid w:val="00732A6D"/>
    <w:rsid w:val="00777C49"/>
    <w:rsid w:val="008058C0"/>
    <w:rsid w:val="009E5D45"/>
    <w:rsid w:val="00A26F16"/>
    <w:rsid w:val="00A73A68"/>
    <w:rsid w:val="00B42CBF"/>
    <w:rsid w:val="00B94F16"/>
    <w:rsid w:val="00DB2461"/>
    <w:rsid w:val="00DB44C8"/>
    <w:rsid w:val="00E266FB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2022-06-07T04:12:00Z</dcterms:created>
  <dcterms:modified xsi:type="dcterms:W3CDTF">2022-06-07T04:12:00Z</dcterms:modified>
</cp:coreProperties>
</file>